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PT Astra Serif" w:hAnsi="PT Astra Serif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bCs/>
          <w:sz w:val="26"/>
          <w:szCs w:val="26"/>
          <w:lang w:eastAsia="ru-RU"/>
        </w:rPr>
        <w:t xml:space="preserve">Уведомление о проведении публичных консультаций в рамках процедуры оценки регулирующего воздействия проекта решения Тульской городской Думы </w:t>
        <w:br/>
        <w:t>«О внесении изменений в Положение «О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теплоснабжения», утвержденное решением Тульской городской Думы от 29 сентября 2021 г. № 27/583»</w:t>
      </w:r>
    </w:p>
    <w:p>
      <w:pPr>
        <w:pStyle w:val="Normal"/>
        <w:spacing w:lineRule="auto" w:line="240" w:before="0" w:after="0"/>
        <w:jc w:val="center"/>
        <w:rPr>
          <w:rFonts w:ascii="PT Astra Serif" w:hAnsi="PT Astra Serif"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b/>
          <w:bCs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right" w:pos="9923" w:leader="none"/>
        </w:tabs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Настоящим Управление по городскому хозяйству администрации города Тулы извещает о начале обсуждения идеи (концепции) предлагаемого правового регулирования и сборе предложений заинтересованных лиц.</w:t>
      </w:r>
    </w:p>
    <w:p>
      <w:pPr>
        <w:pStyle w:val="Normal"/>
        <w:tabs>
          <w:tab w:val="clear" w:pos="708"/>
          <w:tab w:val="right" w:pos="9923" w:leader="none"/>
        </w:tabs>
        <w:spacing w:lineRule="auto" w:line="240" w:before="0" w:after="0"/>
        <w:ind w:firstLine="709"/>
        <w:jc w:val="both"/>
        <w:rPr>
          <w:rFonts w:ascii="PT Astra Serif" w:hAnsi="PT Astra Serif" w:cs="Times New Roman"/>
          <w:spacing w:val="-5"/>
          <w:sz w:val="26"/>
          <w:szCs w:val="26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 xml:space="preserve">Предложения принимаются по адресу: </w:t>
      </w:r>
      <w:r>
        <w:rPr>
          <w:rFonts w:eastAsia="Times New Roman" w:cs="Times New Roman" w:ascii="PT Astra Serif" w:hAnsi="PT Astra Serif"/>
          <w:sz w:val="26"/>
          <w:szCs w:val="26"/>
          <w:u w:val="single"/>
          <w:lang w:eastAsia="ru-RU"/>
        </w:rPr>
        <w:t>город</w:t>
      </w:r>
      <w:r>
        <w:rPr>
          <w:rFonts w:eastAsia="Times New Roman" w:cs="Times New Roman" w:ascii="PT Astra Serif" w:hAnsi="PT Astra Serif"/>
          <w:i/>
          <w:sz w:val="26"/>
          <w:szCs w:val="26"/>
          <w:u w:val="single"/>
          <w:lang w:eastAsia="ru-RU"/>
        </w:rPr>
        <w:t xml:space="preserve"> Тула, Центральный пер., д. 9, каб. 203, </w:t>
      </w: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а также по адресам электронной почты:</w:t>
      </w:r>
      <w:r>
        <w:rPr>
          <w:rFonts w:cs="Times New Roman" w:ascii="PT Astra Serif" w:hAnsi="PT Astra Serif"/>
          <w:sz w:val="26"/>
          <w:szCs w:val="26"/>
        </w:rPr>
        <w:t xml:space="preserve"> </w:t>
      </w:r>
      <w:hyperlink r:id="rId2">
        <w:r>
          <w:rPr>
            <w:rStyle w:val="Hyperlink"/>
            <w:rFonts w:cs="Times New Roman" w:ascii="PT Astra Serif" w:hAnsi="PT Astra Serif"/>
            <w:sz w:val="26"/>
            <w:szCs w:val="26"/>
            <w:lang w:val="en-US" w:eastAsia="ru-RU"/>
          </w:rPr>
          <w:t>T</w:t>
        </w:r>
        <w:r>
          <w:rPr>
            <w:rStyle w:val="Hyperlink"/>
            <w:rFonts w:cs="Times New Roman" w:ascii="PT Astra Serif" w:hAnsi="PT Astra Serif"/>
            <w:sz w:val="26"/>
            <w:szCs w:val="26"/>
            <w:lang w:eastAsia="ru-RU"/>
          </w:rPr>
          <w:t>imofeevaen@cityadm.tula.ru</w:t>
        </w:r>
      </w:hyperlink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 xml:space="preserve">, </w:t>
      </w:r>
      <w:hyperlink r:id="rId3">
        <w:r>
          <w:rPr>
            <w:rStyle w:val="Hyperlink"/>
            <w:rFonts w:cs="Times New Roman" w:ascii="PT Astra Serif" w:hAnsi="PT Astra Serif"/>
            <w:spacing w:val="-5"/>
            <w:sz w:val="26"/>
            <w:szCs w:val="26"/>
          </w:rPr>
          <w:t>ugh@cityadm.tula.ru</w:t>
        </w:r>
      </w:hyperlink>
      <w:r>
        <w:rPr>
          <w:rFonts w:cs="Times New Roman" w:ascii="PT Astra Serif" w:hAnsi="PT Astra Serif"/>
          <w:spacing w:val="-5"/>
          <w:sz w:val="26"/>
          <w:szCs w:val="26"/>
        </w:rPr>
        <w:t>.</w:t>
      </w:r>
    </w:p>
    <w:p>
      <w:pPr>
        <w:pStyle w:val="Normal"/>
        <w:tabs>
          <w:tab w:val="clear" w:pos="708"/>
          <w:tab w:val="right" w:pos="9923" w:leader="none"/>
        </w:tabs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Сроки приема предложений: с 26.03.2026 по 08.04.2026.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Место размещения уведомления о подготовке проекта нормативного правового акта в информационно-телекоммуникационной сети «Интернет» (полный электронный адрес):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i/>
          <w:i/>
          <w:sz w:val="26"/>
          <w:szCs w:val="26"/>
          <w:lang w:eastAsia="ru-RU"/>
        </w:rPr>
      </w:pPr>
      <w:hyperlink r:id="rId4">
        <w:r>
          <w:rPr>
            <w:rStyle w:val="Hyperlink"/>
            <w:rFonts w:ascii="PT Astra Serif" w:hAnsi="PT Astra Serif"/>
            <w:sz w:val="26"/>
            <w:szCs w:val="26"/>
          </w:rPr>
          <w:t>https://tulacity.gosuslugi.ru/ofitsialno/otsenka-reguliruyuschego-vozdeystviya/</w:t>
        </w:r>
      </w:hyperlink>
      <w:r>
        <w:rPr>
          <w:rFonts w:ascii="PT Astra Serif" w:hAnsi="PT Astra Serif"/>
          <w:sz w:val="26"/>
          <w:szCs w:val="26"/>
        </w:rPr>
        <w:t>.</w:t>
      </w:r>
    </w:p>
    <w:p>
      <w:pPr>
        <w:pStyle w:val="Normal"/>
        <w:tabs>
          <w:tab w:val="clear" w:pos="708"/>
          <w:tab w:val="right" w:pos="9923" w:leader="none"/>
        </w:tabs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 xml:space="preserve">Все поступившие предложения будут рассмотрены. Сводка предложений будет размещена на сайте: </w:t>
      </w:r>
      <w:hyperlink r:id="rId5">
        <w:r>
          <w:rPr>
            <w:rStyle w:val="Hyperlink"/>
            <w:rFonts w:ascii="PT Astra Serif" w:hAnsi="PT Astra Serif"/>
            <w:sz w:val="26"/>
            <w:szCs w:val="26"/>
          </w:rPr>
          <w:t>https://tulacity.gosuslugi.ru/ofitsialno/otsenka-reguliruyuschego-vozdeystviya/</w:t>
        </w:r>
      </w:hyperlink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не позднее 16.04.202</w:t>
      </w: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6</w:t>
      </w: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.</w:t>
      </w:r>
    </w:p>
    <w:p>
      <w:pPr>
        <w:pStyle w:val="Normal"/>
        <w:tabs>
          <w:tab w:val="clear" w:pos="708"/>
          <w:tab w:val="left" w:pos="1276" w:leader="none"/>
          <w:tab w:val="left" w:pos="1560" w:leader="none"/>
        </w:tabs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 xml:space="preserve">1. Описание проблемы, на решение которой направлено предлагаемое правовое регулирование: приведение норм Положения «О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теплоснабжения», утвержденного решением Тульской городской Думы от 29 сентября 2021 г. № 27/583, </w:t>
      </w: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в соответствие с требованиями, установленными Федеральным законом от 31.07.2020 № 248-ФЗ (ред. от 2</w:t>
      </w: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9</w:t>
      </w: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.12.202</w:t>
      </w: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5</w:t>
      </w: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) «О государственном контроле (надзоре) и муниципальном контроле в Российской Федерации».</w:t>
      </w:r>
    </w:p>
    <w:p>
      <w:pPr>
        <w:pStyle w:val="Normal"/>
        <w:tabs>
          <w:tab w:val="clear" w:pos="708"/>
          <w:tab w:val="left" w:pos="1276" w:leader="none"/>
          <w:tab w:val="left" w:pos="1560" w:leader="none"/>
        </w:tabs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 xml:space="preserve">2. Цели предлагаемого правового регулирования: </w:t>
      </w:r>
    </w:p>
    <w:p>
      <w:pPr>
        <w:pStyle w:val="Normal"/>
        <w:tabs>
          <w:tab w:val="clear" w:pos="708"/>
          <w:tab w:val="left" w:pos="1276" w:leader="none"/>
          <w:tab w:val="left" w:pos="1560" w:leader="none"/>
        </w:tabs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внесение необходимых изменений в Положение «О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теплоснабжения», утвержденное решением Тульской городской Думы от 29 сентября 2021 г. № 27/583.</w:t>
      </w:r>
    </w:p>
    <w:p>
      <w:pPr>
        <w:pStyle w:val="Normal"/>
        <w:tabs>
          <w:tab w:val="clear" w:pos="708"/>
          <w:tab w:val="left" w:pos="1276" w:leader="none"/>
          <w:tab w:val="left" w:pos="1560" w:leader="none"/>
        </w:tabs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3.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Федеральный закон от 31.07.2020 № 248-ФЗ (ред. от 2</w:t>
      </w: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9</w:t>
      </w: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.12.202</w:t>
      </w: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5</w:t>
      </w:r>
      <w:r>
        <w:rPr>
          <w:rFonts w:eastAsia="Times New Roman" w:cs="Times New Roman" w:ascii="PT Astra Serif" w:hAnsi="PT Astra Serif"/>
          <w:sz w:val="26"/>
          <w:szCs w:val="26"/>
          <w:shd w:fill="auto" w:val="clear"/>
          <w:lang w:eastAsia="ru-RU"/>
        </w:rPr>
        <w:t>) «О государственном контроле (надзоре) и муниципальном контроле в Российской Федерации».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4. Планируемый срок вступления в силу предлагаемого правового регулирования:</w:t>
        <w:br/>
      </w:r>
      <w:bookmarkStart w:id="0" w:name="_GoBack"/>
      <w:bookmarkEnd w:id="0"/>
      <w:r>
        <w:rPr>
          <w:rFonts w:eastAsia="Times New Roman" w:cs="Times New Roman" w:ascii="PT Astra Serif" w:hAnsi="PT Astra Serif"/>
          <w:sz w:val="26"/>
          <w:szCs w:val="26"/>
          <w:lang w:val="en-US" w:eastAsia="ru-RU"/>
        </w:rPr>
        <w:t>II</w:t>
      </w: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 xml:space="preserve"> квартал 2026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5. Сведения о необходимости или отсутствии необходимости установления переходного периода: необходимость установления переходного периода отсутствует.</w:t>
      </w:r>
    </w:p>
    <w:p>
      <w:pPr>
        <w:pStyle w:val="Normal"/>
        <w:spacing w:lineRule="auto" w:line="240" w:before="0" w:after="200"/>
        <w:ind w:firstLine="709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6. Сравнение возможных вариантов решения проблемы</w:t>
      </w:r>
    </w:p>
    <w:tbl>
      <w:tblPr>
        <w:tblW w:w="10234" w:type="dxa"/>
        <w:jc w:val="start"/>
        <w:tblInd w:w="0" w:type="dxa"/>
        <w:tblLayout w:type="fixed"/>
        <w:tblCellMar>
          <w:top w:w="0" w:type="dxa"/>
          <w:start w:w="28" w:type="dxa"/>
          <w:bottom w:w="0" w:type="dxa"/>
          <w:end w:w="28" w:type="dxa"/>
        </w:tblCellMar>
        <w:tblLook w:val="04a0" w:noHBand="0" w:noVBand="1" w:firstColumn="1" w:lastRow="0" w:lastColumn="0" w:firstRow="1"/>
      </w:tblPr>
      <w:tblGrid>
        <w:gridCol w:w="4671"/>
        <w:gridCol w:w="5563"/>
      </w:tblGrid>
      <w:tr>
        <w:trPr/>
        <w:tc>
          <w:tcPr>
            <w:tcW w:w="4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start="57" w:end="57"/>
              <w:jc w:val="both"/>
              <w:rPr>
                <w:rFonts w:ascii="PT Astra Serif" w:hAnsi="PT Astra Serif" w:eastAsia="Times New Roman" w:cs="Times New Roman"/>
                <w:i/>
                <w:i/>
                <w:iCs/>
                <w:sz w:val="26"/>
                <w:szCs w:val="26"/>
              </w:rPr>
            </w:pPr>
            <w:r>
              <w:rPr>
                <w:rFonts w:eastAsia="Times New Roman" w:cs="Times New Roman" w:ascii="PT Astra Serif" w:hAnsi="PT Astra Serif"/>
                <w:i/>
                <w:iCs/>
                <w:sz w:val="26"/>
                <w:szCs w:val="26"/>
              </w:rPr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jc w:val="center"/>
              <w:rPr>
                <w:rFonts w:ascii="PT Astra Serif" w:hAnsi="PT Astra Serif"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 w:ascii="PT Astra Serif" w:hAnsi="PT Astra Serif"/>
                <w:sz w:val="26"/>
                <w:szCs w:val="26"/>
              </w:rPr>
              <w:t>Вариант 1</w:t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start="57" w:end="57"/>
              <w:jc w:val="both"/>
              <w:rPr>
                <w:rFonts w:ascii="PT Astra Serif" w:hAnsi="PT Astra Serif" w:eastAsia="Times New Roman" w:cs="Times New Roman"/>
                <w:i/>
                <w:i/>
                <w:iCs/>
                <w:sz w:val="26"/>
                <w:szCs w:val="26"/>
              </w:rPr>
            </w:pPr>
            <w:r>
              <w:rPr>
                <w:rFonts w:eastAsia="Times New Roman" w:cs="Times New Roman" w:ascii="PT Astra Serif" w:hAnsi="PT Astra Serif"/>
                <w:i/>
                <w:iCs/>
                <w:sz w:val="26"/>
                <w:szCs w:val="26"/>
              </w:rPr>
              <w:t>6.1. Содержание варианта решения выявленной проблемы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PT Astra Serif" w:hAnsi="PT Astra Serif" w:eastAsia="Times New Roman" w:cs="Times New Roman"/>
                <w:i/>
                <w:i/>
                <w:sz w:val="26"/>
                <w:szCs w:val="26"/>
              </w:rPr>
            </w:pPr>
            <w:r>
              <w:rPr>
                <w:rFonts w:eastAsia="Times New Roman" w:cs="Times New Roman" w:ascii="PT Astra Serif" w:hAnsi="PT Astra Serif"/>
                <w:bCs/>
                <w:sz w:val="26"/>
                <w:szCs w:val="26"/>
                <w:lang w:eastAsia="ru-RU"/>
              </w:rPr>
              <w:t xml:space="preserve">Проект решения Тульской городской Думы </w:t>
              <w:br/>
              <w:t>«О внесении изменений в Положение «О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теплоснабжения», утвержденное решением Тульской городской Думы от 29 сентября 2021 г. № 27/583»</w:t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start="57" w:end="57"/>
              <w:jc w:val="both"/>
              <w:rPr>
                <w:rFonts w:ascii="PT Astra Serif" w:hAnsi="PT Astra Serif" w:eastAsia="Times New Roman" w:cs="Times New Roman"/>
                <w:i/>
                <w:i/>
                <w:iCs/>
                <w:sz w:val="26"/>
                <w:szCs w:val="26"/>
              </w:rPr>
            </w:pPr>
            <w:r>
              <w:rPr>
                <w:rFonts w:eastAsia="Times New Roman" w:cs="Times New Roman" w:ascii="PT Astra Serif" w:hAnsi="PT Astra Serif"/>
                <w:i/>
                <w:iCs/>
                <w:sz w:val="26"/>
                <w:szCs w:val="26"/>
              </w:rPr>
              <w:t>6.2.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PT Astra Serif" w:hAnsi="PT Astra Serif" w:eastAsia="Times New Roman" w:cs="Times New Roman"/>
                <w:i/>
                <w:i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Рассматриваемый проект может затронуть права адресатов предлагаемого правового регулирования</w:t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start="57" w:end="57"/>
              <w:jc w:val="both"/>
              <w:rPr>
                <w:rFonts w:ascii="PT Astra Serif" w:hAnsi="PT Astra Serif" w:eastAsia="Times New Roman" w:cs="Times New Roman"/>
                <w:i/>
                <w:i/>
                <w:iCs/>
                <w:sz w:val="26"/>
                <w:szCs w:val="26"/>
              </w:rPr>
            </w:pPr>
            <w:r>
              <w:rPr>
                <w:rFonts w:eastAsia="Times New Roman" w:cs="Times New Roman" w:ascii="PT Astra Serif" w:hAnsi="PT Astra Serif"/>
                <w:i/>
                <w:iCs/>
                <w:sz w:val="26"/>
                <w:szCs w:val="26"/>
              </w:rPr>
              <w:t>6.3. 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PT Astra Serif" w:hAnsi="PT Astra Serif" w:eastAsia="Times New Roman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Дополнительных расходов потенциальных адресатов предлагаемого правового регулирования не требуется</w:t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start="57" w:end="57"/>
              <w:jc w:val="both"/>
              <w:rPr>
                <w:rFonts w:ascii="PT Astra Serif" w:hAnsi="PT Astra Serif" w:eastAsia="Times New Roman" w:cs="Times New Roman"/>
                <w:i/>
                <w:i/>
                <w:iCs/>
                <w:sz w:val="26"/>
                <w:szCs w:val="26"/>
              </w:rPr>
            </w:pPr>
            <w:r>
              <w:rPr>
                <w:rFonts w:eastAsia="Times New Roman" w:cs="Times New Roman" w:ascii="PT Astra Serif" w:hAnsi="PT Astra Serif"/>
                <w:i/>
                <w:iCs/>
                <w:sz w:val="26"/>
                <w:szCs w:val="26"/>
              </w:rPr>
              <w:t>6.4. 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Дополнительных расходов бюджета субъекта </w:t>
            </w:r>
          </w:p>
          <w:p>
            <w:pPr>
              <w:pStyle w:val="Normal"/>
              <w:spacing w:lineRule="auto" w:line="276" w:before="0" w:after="0"/>
              <w:jc w:val="center"/>
              <w:rPr>
                <w:rFonts w:ascii="PT Astra Serif" w:hAnsi="PT Astra Serif" w:eastAsia="Times New Roman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Российской Федерации не требуется</w:t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start="57" w:end="57"/>
              <w:jc w:val="both"/>
              <w:rPr>
                <w:rFonts w:ascii="PT Astra Serif" w:hAnsi="PT Astra Serif" w:eastAsia="Times New Roman" w:cs="Times New Roman"/>
                <w:i/>
                <w:i/>
                <w:iCs/>
                <w:sz w:val="26"/>
                <w:szCs w:val="26"/>
              </w:rPr>
            </w:pPr>
            <w:r>
              <w:rPr>
                <w:rFonts w:eastAsia="Times New Roman" w:cs="Times New Roman" w:ascii="PT Astra Serif" w:hAnsi="PT Astra Serif"/>
                <w:i/>
                <w:iCs/>
                <w:sz w:val="26"/>
                <w:szCs w:val="26"/>
              </w:rPr>
              <w:t>6.5.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Рассматриваемый вариант предлагаемого правового регулирования гарантирует достижение заявленных целей предлагаемого правового регулирования</w:t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start="57" w:end="57"/>
              <w:jc w:val="both"/>
              <w:rPr>
                <w:rFonts w:ascii="PT Astra Serif" w:hAnsi="PT Astra Serif" w:eastAsia="Times New Roman" w:cs="Times New Roman"/>
                <w:i/>
                <w:i/>
                <w:iCs/>
                <w:sz w:val="26"/>
                <w:szCs w:val="26"/>
              </w:rPr>
            </w:pPr>
            <w:r>
              <w:rPr>
                <w:rFonts w:eastAsia="Times New Roman" w:cs="Times New Roman" w:ascii="PT Astra Serif" w:hAnsi="PT Astra Serif"/>
                <w:i/>
                <w:iCs/>
                <w:sz w:val="26"/>
                <w:szCs w:val="26"/>
              </w:rPr>
              <w:t>6.6. Оценка рисков неблагоприятных последствий</w:t>
            </w:r>
          </w:p>
        </w:tc>
        <w:tc>
          <w:tcPr>
            <w:tcW w:w="5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PT Astra Serif" w:hAnsi="PT Astra Serif" w:eastAsia="Times New Roman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Риски неблагоприятных последствий отсутствуют</w:t>
            </w:r>
          </w:p>
        </w:tc>
      </w:tr>
    </w:tbl>
    <w:p>
      <w:pPr>
        <w:pStyle w:val="Normal"/>
        <w:spacing w:lineRule="auto" w:line="240" w:before="20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6.7. Обоснование выбора предпочтительного варианта предлагаемого правового регулирования выявленной проблемы: требования федерального законодательства.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7. Иная информация по решению органа-разработчика, относящаяся к сведениям о подготовке идеи (концепции) предлагаемого правового регулирования: не имеется.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 xml:space="preserve">К уведомлению прилагаются: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1. Перечень вопросов для участников публичных консультаций</w:t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>2. Проект решения Тульской городской Думы «О внесении изменений в Положение «О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теплоснабжения», утвержденное решением Тульской городской Думы от 29 сентября 2021 г. № 27/583».</w:t>
      </w:r>
    </w:p>
    <w:sectPr>
      <w:type w:val="nextPage"/>
      <w:pgSz w:w="11906" w:h="16838"/>
      <w:pgMar w:left="1134" w:right="709" w:gutter="0" w:header="0" w:top="834" w:footer="0" w:bottom="99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3675b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dc6818"/>
    <w:rPr>
      <w:color w:themeColor="hyperlink" w:val="0563C1"/>
      <w:u w:val="single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51795"/>
    <w:rPr/>
  </w:style>
  <w:style w:type="character" w:styleId="Style15" w:customStyle="1">
    <w:name w:val="Нижний колонтитул Знак"/>
    <w:basedOn w:val="DefaultParagraphFont"/>
    <w:uiPriority w:val="99"/>
    <w:qFormat/>
    <w:rsid w:val="00151795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5179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15179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imofeevaen@cityadm.tula.ru" TargetMode="External"/><Relationship Id="rId3" Type="http://schemas.openxmlformats.org/officeDocument/2006/relationships/hyperlink" Target="mailto:ugh@cityadm.tula.ru" TargetMode="External"/><Relationship Id="rId4" Type="http://schemas.openxmlformats.org/officeDocument/2006/relationships/hyperlink" Target="https://tulacity.gosuslugi.ru/ofitsialno/otsenka-reguliruyuschego-vozdeystviya/" TargetMode="External"/><Relationship Id="rId5" Type="http://schemas.openxmlformats.org/officeDocument/2006/relationships/hyperlink" Target="https://tulacity.gosuslugi.ru/ofitsialno/otsenka-reguliruyuschego-vozdeystviya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Application>LibreOffice/25.8.3.2$Linux_X86_64 LibreOffice_project/580$Build-2</Application>
  <AppVersion>15.0000</AppVersion>
  <Pages>2</Pages>
  <Words>545</Words>
  <Characters>4458</Characters>
  <CharactersWithSpaces>4975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2025-03-12T14:32:00Z</dcterms:created>
  <dc:creator>Нестерова Маргарита Сергеевна</dc:creator>
  <dc:description/>
  <dc:language>ru-RU</dc:language>
  <cp:lastModifiedBy/>
  <dcterms:modified xsi:type="dcterms:W3CDTF">2026-03-25T13:32:02Z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